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1374A" w14:textId="40F25F9F" w:rsidR="0042452F" w:rsidRDefault="00C020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F817804" wp14:editId="7E3CAA3F">
                <wp:simplePos x="0" y="0"/>
                <wp:positionH relativeFrom="column">
                  <wp:posOffset>-66692</wp:posOffset>
                </wp:positionH>
                <wp:positionV relativeFrom="paragraph">
                  <wp:posOffset>5374005</wp:posOffset>
                </wp:positionV>
                <wp:extent cx="7006590" cy="1941195"/>
                <wp:effectExtent l="0" t="0" r="3810" b="19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6590" cy="194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710" w:type="dxa"/>
                              <w:tblInd w:w="-5" w:type="dxa"/>
                              <w:tblLayout w:type="fixed"/>
                              <w:tblCellMar>
                                <w:left w:w="58" w:type="dxa"/>
                                <w:right w:w="58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255"/>
                              <w:gridCol w:w="1530"/>
                              <w:gridCol w:w="1530"/>
                              <w:gridCol w:w="1710"/>
                              <w:gridCol w:w="4685"/>
                            </w:tblGrid>
                            <w:tr w:rsidR="00C020BA" w:rsidRPr="00C020BA" w14:paraId="501B2142" w14:textId="77777777" w:rsidTr="00C020BA">
                              <w:trPr>
                                <w:trHeight w:val="60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650B7D1A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Fiscal Period (FYP)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  <w:hideMark/>
                                </w:tcPr>
                                <w:p w14:paraId="04CB46B6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Calendar Dates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  <w:hideMark/>
                                </w:tcPr>
                                <w:p w14:paraId="056455B0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Posting Date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  <w:hideMark/>
                                </w:tcPr>
                                <w:p w14:paraId="753802CC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Common Name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AEAAAA"/>
                                  <w:noWrap/>
                                  <w:tcMar>
                                    <w:left w:w="58" w:type="dxa"/>
                                    <w:right w:w="58" w:type="dxa"/>
                                  </w:tcMar>
                                  <w:vAlign w:val="bottom"/>
                                  <w:hideMark/>
                                </w:tcPr>
                                <w:p w14:paraId="00D03F5A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Notes</w:t>
                                  </w:r>
                                </w:p>
                              </w:tc>
                            </w:tr>
                            <w:tr w:rsidR="00C020BA" w:rsidRPr="00C020BA" w14:paraId="5D457C09" w14:textId="77777777" w:rsidTr="00C020BA">
                              <w:trPr>
                                <w:trHeight w:val="300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3BD7B858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5DC7E554" w14:textId="4C8A7145" w:rsidR="00C020BA" w:rsidRPr="00C020BA" w:rsidRDefault="00C020BA" w:rsidP="005D566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June 1-30, 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2021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58B5ADCB" w14:textId="00C79FDD" w:rsidR="00C020BA" w:rsidRPr="00C020BA" w:rsidRDefault="00C020BA" w:rsidP="005D566C">
                                  <w:pPr>
                                    <w:spacing w:after="0" w:line="220" w:lineRule="exac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June 1-30, 20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4CD91C43" w14:textId="77777777" w:rsidR="00C020BA" w:rsidRPr="00C020BA" w:rsidRDefault="00C020BA" w:rsidP="00523136">
                                  <w:pPr>
                                    <w:spacing w:after="0" w:line="220" w:lineRule="exac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June1 (June One)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401E162C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Contains transactions posted in June.</w:t>
                                  </w:r>
                                </w:p>
                              </w:tc>
                            </w:tr>
                            <w:tr w:rsidR="00C020BA" w:rsidRPr="00C020BA" w14:paraId="4D4BBD07" w14:textId="77777777" w:rsidTr="00C020BA">
                              <w:trPr>
                                <w:trHeight w:val="506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4DB44E3E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192A8CB9" w14:textId="6F09EE1B" w:rsidR="00C020BA" w:rsidRPr="00C020BA" w:rsidRDefault="00C020BA" w:rsidP="00C90E6F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July 1-17, 20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106553C6" w14:textId="41D974D3" w:rsidR="00C020BA" w:rsidRPr="00C020BA" w:rsidRDefault="00C020BA" w:rsidP="005D566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June 30, 2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021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1A4BA01C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June2 (June Two)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624A0918" w14:textId="77777777" w:rsidR="00C020BA" w:rsidRPr="00C020BA" w:rsidRDefault="00C020BA" w:rsidP="00523136">
                                  <w:pPr>
                                    <w:spacing w:after="0" w:line="220" w:lineRule="exac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Contains transactions posted in July but backdated to June 30th for inclusion in the previous FY.</w:t>
                                  </w:r>
                                </w:p>
                              </w:tc>
                            </w:tr>
                            <w:tr w:rsidR="00C020BA" w:rsidRPr="00C020BA" w14:paraId="2E3050A2" w14:textId="77777777" w:rsidTr="00C020BA">
                              <w:trPr>
                                <w:trHeight w:val="893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6D9F912E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1D91712C" w14:textId="47DAFB6A" w:rsidR="00C020BA" w:rsidRPr="00C020BA" w:rsidRDefault="00C020BA" w:rsidP="00C90E6F">
                                  <w:pPr>
                                    <w:spacing w:after="0" w:line="220" w:lineRule="exac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July 18 - Aug 2, 20</w:t>
                                  </w:r>
                                  <w:r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6FAF6858" w14:textId="7D9A87E2" w:rsidR="00C020BA" w:rsidRPr="00C020BA" w:rsidRDefault="00C020BA" w:rsidP="005D566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June 30, 20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3742DD1F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June Final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58" w:type="dxa"/>
                                    <w:right w:w="58" w:type="dxa"/>
                                  </w:tcMar>
                                  <w:hideMark/>
                                </w:tcPr>
                                <w:p w14:paraId="1B29D07F" w14:textId="45426EED" w:rsidR="00C020BA" w:rsidRPr="00C020BA" w:rsidRDefault="00C020BA" w:rsidP="005269D9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Contains transactions to close out the fiscal year. 7/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17-7/23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open for departmental changes; 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br/>
                                    <w:t>7/2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4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-8/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5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open to Accounting Office only.</w:t>
                                  </w:r>
                                </w:p>
                              </w:tc>
                            </w:tr>
                            <w:tr w:rsidR="00C020BA" w:rsidRPr="00865275" w14:paraId="06F94501" w14:textId="77777777" w:rsidTr="00C020BA">
                              <w:trPr>
                                <w:trHeight w:val="522"/>
                              </w:trPr>
                              <w:tc>
                                <w:tcPr>
                                  <w:tcW w:w="1255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0E922F0C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19238AD2" w14:textId="2A955157" w:rsidR="00C020BA" w:rsidRPr="00C020BA" w:rsidRDefault="00C020BA" w:rsidP="00C90E6F">
                                  <w:pPr>
                                    <w:spacing w:after="0" w:line="220" w:lineRule="exact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Aug 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6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 xml:space="preserve"> or later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br/>
                                    <w:t>(as needed)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03915B42" w14:textId="21523F99" w:rsidR="00C020BA" w:rsidRPr="00C020BA" w:rsidRDefault="00C020BA" w:rsidP="005D566C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June 30, 20</w:t>
                                  </w: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1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hideMark/>
                                </w:tcPr>
                                <w:p w14:paraId="7A669298" w14:textId="77777777" w:rsidR="00C020BA" w:rsidRPr="00C020BA" w:rsidRDefault="00C020BA" w:rsidP="0052313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Post-Audit Adjustments</w:t>
                                  </w:r>
                                </w:p>
                              </w:tc>
                              <w:tc>
                                <w:tcPr>
                                  <w:tcW w:w="4685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hideMark/>
                                </w:tcPr>
                                <w:p w14:paraId="4C12C415" w14:textId="77777777" w:rsidR="00C020BA" w:rsidRPr="00865275" w:rsidRDefault="00C020BA" w:rsidP="00523136">
                                  <w:pPr>
                                    <w:spacing w:after="0" w:line="240" w:lineRule="auto"/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</w:pPr>
                                  <w:r w:rsidRPr="00C020BA">
                                    <w:rPr>
                                      <w:rFonts w:ascii="Calibri" w:eastAsia="Times New Roman" w:hAnsi="Calibri" w:cs="Times New Roman"/>
                                      <w:color w:val="000000"/>
                                    </w:rPr>
                                    <w:t>Contains post-audit adjustments, as needed.</w:t>
                                  </w:r>
                                </w:p>
                              </w:tc>
                            </w:tr>
                          </w:tbl>
                          <w:p w14:paraId="23D8F601" w14:textId="77777777" w:rsidR="00C020BA" w:rsidRDefault="00C020BA" w:rsidP="00C020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8178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423.15pt;width:551.7pt;height:152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" stroked="f">
                <v:textbox>
                  <w:txbxContent>
                    <w:tbl>
                      <w:tblPr>
                        <w:tblW w:w="10710" w:type="dxa"/>
                        <w:tblInd w:w="-5" w:type="dxa"/>
                        <w:tblLayout w:type="fixed"/>
                        <w:tblCellMar>
                          <w:left w:w="58" w:type="dxa"/>
                          <w:right w:w="58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255"/>
                        <w:gridCol w:w="1530"/>
                        <w:gridCol w:w="1530"/>
                        <w:gridCol w:w="1710"/>
                        <w:gridCol w:w="4685"/>
                      </w:tblGrid>
                      <w:tr w:rsidR="00C020BA" w:rsidRPr="00C020BA" w14:paraId="501B2142" w14:textId="77777777" w:rsidTr="00C020BA">
                        <w:trPr>
                          <w:trHeight w:val="600"/>
                        </w:trPr>
                        <w:tc>
                          <w:tcPr>
                            <w:tcW w:w="125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650B7D1A" w14:textId="77777777" w:rsidR="00C020BA" w:rsidRPr="00C020BA" w:rsidRDefault="00C020BA" w:rsidP="005231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Fiscal Period (FYP)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  <w:hideMark/>
                          </w:tcPr>
                          <w:p w14:paraId="04CB46B6" w14:textId="77777777" w:rsidR="00C020BA" w:rsidRPr="00C020BA" w:rsidRDefault="00C020BA" w:rsidP="0052313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Calendar Dates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  <w:hideMark/>
                          </w:tcPr>
                          <w:p w14:paraId="056455B0" w14:textId="77777777" w:rsidR="00C020BA" w:rsidRPr="00C020BA" w:rsidRDefault="00C020BA" w:rsidP="0052313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Posting Date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  <w:hideMark/>
                          </w:tcPr>
                          <w:p w14:paraId="753802CC" w14:textId="77777777" w:rsidR="00C020BA" w:rsidRPr="00C020BA" w:rsidRDefault="00C020BA" w:rsidP="0052313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Common Name</w:t>
                            </w:r>
                          </w:p>
                        </w:tc>
                        <w:tc>
                          <w:tcPr>
                            <w:tcW w:w="4685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AEAAAA"/>
                            <w:noWrap/>
                            <w:tcMar>
                              <w:left w:w="58" w:type="dxa"/>
                              <w:right w:w="58" w:type="dxa"/>
                            </w:tcMar>
                            <w:vAlign w:val="bottom"/>
                            <w:hideMark/>
                          </w:tcPr>
                          <w:p w14:paraId="00D03F5A" w14:textId="77777777" w:rsidR="00C020BA" w:rsidRPr="00C020BA" w:rsidRDefault="00C020BA" w:rsidP="0052313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Notes</w:t>
                            </w:r>
                          </w:p>
                        </w:tc>
                      </w:tr>
                      <w:tr w:rsidR="00C020BA" w:rsidRPr="00C020BA" w14:paraId="5D457C09" w14:textId="77777777" w:rsidTr="00C020BA">
                        <w:trPr>
                          <w:trHeight w:val="300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3BD7B858" w14:textId="77777777" w:rsidR="00C020BA" w:rsidRPr="00C020BA" w:rsidRDefault="00C020BA" w:rsidP="005231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5DC7E554" w14:textId="4C8A7145" w:rsidR="00C020BA" w:rsidRPr="00C020BA" w:rsidRDefault="00C020BA" w:rsidP="005D566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June 1-30, 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2021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58B5ADCB" w14:textId="00C79FDD" w:rsidR="00C020BA" w:rsidRPr="00C020BA" w:rsidRDefault="00C020BA" w:rsidP="005D566C">
                            <w:pPr>
                              <w:spacing w:after="0" w:line="220" w:lineRule="exac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June 1-30, 20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4CD91C43" w14:textId="77777777" w:rsidR="00C020BA" w:rsidRPr="00C020BA" w:rsidRDefault="00C020BA" w:rsidP="00523136">
                            <w:pPr>
                              <w:spacing w:after="0" w:line="220" w:lineRule="exac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June1 (June One)</w:t>
                            </w:r>
                          </w:p>
                        </w:tc>
                        <w:tc>
                          <w:tcPr>
                            <w:tcW w:w="46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401E162C" w14:textId="77777777" w:rsidR="00C020BA" w:rsidRPr="00C020BA" w:rsidRDefault="00C020BA" w:rsidP="0052313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Contains transactions posted in June.</w:t>
                            </w:r>
                          </w:p>
                        </w:tc>
                      </w:tr>
                      <w:tr w:rsidR="00C020BA" w:rsidRPr="00C020BA" w14:paraId="4D4BBD07" w14:textId="77777777" w:rsidTr="00C020BA">
                        <w:trPr>
                          <w:trHeight w:val="506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4DB44E3E" w14:textId="77777777" w:rsidR="00C020BA" w:rsidRPr="00C020BA" w:rsidRDefault="00C020BA" w:rsidP="005231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192A8CB9" w14:textId="6F09EE1B" w:rsidR="00C020BA" w:rsidRPr="00C020BA" w:rsidRDefault="00C020BA" w:rsidP="00C90E6F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July 1-17, 20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106553C6" w14:textId="41D974D3" w:rsidR="00C020BA" w:rsidRPr="00C020BA" w:rsidRDefault="00C020BA" w:rsidP="005D566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June 30, 2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021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1A4BA01C" w14:textId="77777777" w:rsidR="00C020BA" w:rsidRPr="00C020BA" w:rsidRDefault="00C020BA" w:rsidP="0052313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June2 (June Two)</w:t>
                            </w:r>
                          </w:p>
                        </w:tc>
                        <w:tc>
                          <w:tcPr>
                            <w:tcW w:w="46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624A0918" w14:textId="77777777" w:rsidR="00C020BA" w:rsidRPr="00C020BA" w:rsidRDefault="00C020BA" w:rsidP="00523136">
                            <w:pPr>
                              <w:spacing w:after="0" w:line="220" w:lineRule="exac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Contains transactions posted in July but backdated to June 30th for inclusion in the previous FY.</w:t>
                            </w:r>
                          </w:p>
                        </w:tc>
                      </w:tr>
                      <w:tr w:rsidR="00C020BA" w:rsidRPr="00C020BA" w14:paraId="2E3050A2" w14:textId="77777777" w:rsidTr="00C020BA">
                        <w:trPr>
                          <w:trHeight w:val="893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6D9F912E" w14:textId="77777777" w:rsidR="00C020BA" w:rsidRPr="00C020BA" w:rsidRDefault="00C020BA" w:rsidP="005231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1D91712C" w14:textId="47DAFB6A" w:rsidR="00C020BA" w:rsidRPr="00C020BA" w:rsidRDefault="00C020BA" w:rsidP="00C90E6F">
                            <w:pPr>
                              <w:spacing w:after="0" w:line="220" w:lineRule="exac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July 18 - Aug 2, 20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6FAF6858" w14:textId="7D9A87E2" w:rsidR="00C020BA" w:rsidRPr="00C020BA" w:rsidRDefault="00C020BA" w:rsidP="005D566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June 30, 20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3742DD1F" w14:textId="77777777" w:rsidR="00C020BA" w:rsidRPr="00C020BA" w:rsidRDefault="00C020BA" w:rsidP="0052313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June Final</w:t>
                            </w:r>
                          </w:p>
                        </w:tc>
                        <w:tc>
                          <w:tcPr>
                            <w:tcW w:w="46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58" w:type="dxa"/>
                              <w:right w:w="58" w:type="dxa"/>
                            </w:tcMar>
                            <w:hideMark/>
                          </w:tcPr>
                          <w:p w14:paraId="1B29D07F" w14:textId="45426EED" w:rsidR="00C020BA" w:rsidRPr="00C020BA" w:rsidRDefault="00C020BA" w:rsidP="005269D9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Contains transactions to close out the fiscal year. 7/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17-7/23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open for departmental changes; 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7/2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4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-8/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5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open to Accounting Office only.</w:t>
                            </w:r>
                          </w:p>
                        </w:tc>
                      </w:tr>
                      <w:tr w:rsidR="00C020BA" w:rsidRPr="00865275" w14:paraId="06F94501" w14:textId="77777777" w:rsidTr="00C020BA">
                        <w:trPr>
                          <w:trHeight w:val="522"/>
                        </w:trPr>
                        <w:tc>
                          <w:tcPr>
                            <w:tcW w:w="1255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0E922F0C" w14:textId="77777777" w:rsidR="00C020BA" w:rsidRPr="00C020BA" w:rsidRDefault="00C020BA" w:rsidP="00523136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19238AD2" w14:textId="2A955157" w:rsidR="00C020BA" w:rsidRPr="00C020BA" w:rsidRDefault="00C020BA" w:rsidP="00C90E6F">
                            <w:pPr>
                              <w:spacing w:after="0" w:line="220" w:lineRule="exact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Aug 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6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 xml:space="preserve"> or later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br/>
                              <w:t>(as needed)</w:t>
                            </w:r>
                          </w:p>
                        </w:tc>
                        <w:tc>
                          <w:tcPr>
                            <w:tcW w:w="153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03915B42" w14:textId="21523F99" w:rsidR="00C020BA" w:rsidRPr="00C020BA" w:rsidRDefault="00C020BA" w:rsidP="005D566C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June 30, 20</w:t>
                            </w: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1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hideMark/>
                          </w:tcPr>
                          <w:p w14:paraId="7A669298" w14:textId="77777777" w:rsidR="00C020BA" w:rsidRPr="00C020BA" w:rsidRDefault="00C020BA" w:rsidP="0052313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Post-Audit Adjustments</w:t>
                            </w:r>
                          </w:p>
                        </w:tc>
                        <w:tc>
                          <w:tcPr>
                            <w:tcW w:w="4685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hideMark/>
                          </w:tcPr>
                          <w:p w14:paraId="4C12C415" w14:textId="77777777" w:rsidR="00C020BA" w:rsidRPr="00865275" w:rsidRDefault="00C020BA" w:rsidP="00523136">
                            <w:pPr>
                              <w:spacing w:after="0" w:line="240" w:lineRule="auto"/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</w:pPr>
                            <w:r w:rsidRPr="00C020BA">
                              <w:rPr>
                                <w:rFonts w:ascii="Calibri" w:eastAsia="Times New Roman" w:hAnsi="Calibri" w:cs="Times New Roman"/>
                                <w:color w:val="000000"/>
                              </w:rPr>
                              <w:t>Contains post-audit adjustments, as needed.</w:t>
                            </w:r>
                          </w:p>
                        </w:tc>
                      </w:tr>
                    </w:tbl>
                    <w:p w14:paraId="23D8F601" w14:textId="77777777" w:rsidR="00C020BA" w:rsidRDefault="00C020BA" w:rsidP="00C020BA"/>
                  </w:txbxContent>
                </v:textbox>
                <w10:wrap type="square"/>
              </v:shape>
            </w:pict>
          </mc:Fallback>
        </mc:AlternateContent>
      </w:r>
      <w:r w:rsidR="0092781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7F2D27F" wp14:editId="54F3FDA2">
                <wp:simplePos x="0" y="0"/>
                <wp:positionH relativeFrom="column">
                  <wp:posOffset>12065</wp:posOffset>
                </wp:positionH>
                <wp:positionV relativeFrom="paragraph">
                  <wp:posOffset>2437130</wp:posOffset>
                </wp:positionV>
                <wp:extent cx="6839585" cy="2915920"/>
                <wp:effectExtent l="0" t="0" r="18415" b="1778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291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06E82" w14:textId="77777777" w:rsidR="0054337C" w:rsidRDefault="0054337C" w:rsidP="0092781D">
                            <w:pPr>
                              <w:spacing w:after="80" w:line="240" w:lineRule="auto"/>
                            </w:pPr>
                            <w:r w:rsidRPr="00177DA7">
                              <w:rPr>
                                <w:b/>
                                <w:sz w:val="24"/>
                                <w:szCs w:val="24"/>
                              </w:rPr>
                              <w:t>Period 12 (June1)</w:t>
                            </w:r>
                            <w:r>
                              <w:t xml:space="preserve"> is a normal business month, with additional effort put forth by departments to ensure that all financial transactions that occur</w:t>
                            </w:r>
                            <w:r w:rsidR="0041697D">
                              <w:t>red</w:t>
                            </w:r>
                            <w:r>
                              <w:t xml:space="preserve"> in that fiscal year are closed. </w:t>
                            </w:r>
                          </w:p>
                          <w:p w14:paraId="17CC648B" w14:textId="77777777" w:rsidR="00754FDF" w:rsidRPr="00C020BA" w:rsidRDefault="0054337C" w:rsidP="0092781D">
                            <w:pPr>
                              <w:spacing w:after="80" w:line="240" w:lineRule="auto"/>
                            </w:pPr>
                            <w:r w:rsidRPr="00177DA7">
                              <w:rPr>
                                <w:b/>
                                <w:sz w:val="24"/>
                                <w:szCs w:val="24"/>
                              </w:rPr>
                              <w:t>Period 12 (June2)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t xml:space="preserve">occurs in the first two weeks </w:t>
                            </w:r>
                            <w:r w:rsidR="0041697D">
                              <w:t>of</w:t>
                            </w:r>
                            <w:r>
                              <w:t xml:space="preserve"> July. During this time, the financial books for the fiscal year are </w:t>
                            </w:r>
                            <w:r w:rsidRPr="00C020BA">
                              <w:t xml:space="preserve">left open so that departments may make additional June entries to ensure that all financial activity that occurred in June </w:t>
                            </w:r>
                            <w:r w:rsidR="00465B89" w:rsidRPr="00C020BA">
                              <w:t>is</w:t>
                            </w:r>
                            <w:r w:rsidRPr="00C020BA">
                              <w:t xml:space="preserve"> </w:t>
                            </w:r>
                            <w:r w:rsidR="00754FDF" w:rsidRPr="00C020BA">
                              <w:t xml:space="preserve">correctly </w:t>
                            </w:r>
                            <w:r w:rsidR="00367E46" w:rsidRPr="00C020BA">
                              <w:t xml:space="preserve">posted to </w:t>
                            </w:r>
                            <w:r w:rsidR="00754FDF" w:rsidRPr="00C020BA">
                              <w:t>June</w:t>
                            </w:r>
                            <w:r w:rsidRPr="00C020BA">
                              <w:t xml:space="preserve">. </w:t>
                            </w:r>
                            <w:r w:rsidR="00754FDF" w:rsidRPr="00C020BA">
                              <w:t>June2 (period 12 items entered after June 30) includes many transactions posted by administrative offices. Examples of these are payroll accruals and allocations for workers’ comp, unemployment and administrative rates.</w:t>
                            </w:r>
                          </w:p>
                          <w:p w14:paraId="1739F0F4" w14:textId="77777777" w:rsidR="003B7830" w:rsidRPr="00C020BA" w:rsidRDefault="00037401" w:rsidP="0092781D">
                            <w:pPr>
                              <w:spacing w:after="80" w:line="240" w:lineRule="auto"/>
                            </w:pPr>
                            <w:r w:rsidRPr="00C020BA">
                              <w:rPr>
                                <w:b/>
                                <w:sz w:val="24"/>
                                <w:szCs w:val="24"/>
                              </w:rPr>
                              <w:t>Period 13</w:t>
                            </w:r>
                            <w:r w:rsidR="004F7B14" w:rsidRPr="00C020B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(</w:t>
                            </w:r>
                            <w:r w:rsidRPr="00C020BA">
                              <w:rPr>
                                <w:b/>
                                <w:sz w:val="24"/>
                                <w:szCs w:val="24"/>
                              </w:rPr>
                              <w:t>June Final</w:t>
                            </w:r>
                            <w:r w:rsidR="004F7B14" w:rsidRPr="00C020BA">
                              <w:rPr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  <w:r w:rsidRPr="00C020BA">
                              <w:t xml:space="preserve"> </w:t>
                            </w:r>
                            <w:r w:rsidR="004F7B14" w:rsidRPr="00C020BA">
                              <w:t xml:space="preserve">is used </w:t>
                            </w:r>
                            <w:r w:rsidRPr="00C020BA">
                              <w:t xml:space="preserve">to make </w:t>
                            </w:r>
                            <w:r w:rsidR="003B7830" w:rsidRPr="00C020BA">
                              <w:t xml:space="preserve">year-end closing entries and other adjustments. </w:t>
                            </w:r>
                            <w:r w:rsidR="004F7B14" w:rsidRPr="00C020BA">
                              <w:t xml:space="preserve">During the first week of Period 13, departments are able to make final entries and adjustments, then SAP is locked and </w:t>
                            </w:r>
                            <w:r w:rsidR="00E6286D" w:rsidRPr="00C020BA">
                              <w:t xml:space="preserve">for the remainder of </w:t>
                            </w:r>
                            <w:r w:rsidR="004F7B14" w:rsidRPr="00C020BA">
                              <w:t>period</w:t>
                            </w:r>
                            <w:r w:rsidR="00E6286D" w:rsidRPr="00C020BA">
                              <w:t xml:space="preserve"> 13</w:t>
                            </w:r>
                            <w:r w:rsidR="004F7B14" w:rsidRPr="00C020BA">
                              <w:t xml:space="preserve"> only</w:t>
                            </w:r>
                            <w:r w:rsidR="00E6286D" w:rsidRPr="00C020BA">
                              <w:t xml:space="preserve"> </w:t>
                            </w:r>
                            <w:r w:rsidR="004F7B14" w:rsidRPr="00C020BA">
                              <w:t>Accounting</w:t>
                            </w:r>
                            <w:r w:rsidR="00E6286D" w:rsidRPr="00C020BA">
                              <w:t xml:space="preserve"> Office</w:t>
                            </w:r>
                            <w:r w:rsidR="004F7B14" w:rsidRPr="00C020BA">
                              <w:t xml:space="preserve"> staff </w:t>
                            </w:r>
                            <w:r w:rsidR="00E6286D" w:rsidRPr="00C020BA">
                              <w:t>is</w:t>
                            </w:r>
                            <w:r w:rsidR="004F7B14" w:rsidRPr="00C020BA">
                              <w:t xml:space="preserve"> able to make adjustments. </w:t>
                            </w:r>
                            <w:r w:rsidR="00367E46" w:rsidRPr="00C020BA">
                              <w:t>A</w:t>
                            </w:r>
                            <w:r w:rsidR="003B7830" w:rsidRPr="00C020BA">
                              <w:t xml:space="preserve">fter </w:t>
                            </w:r>
                            <w:r w:rsidR="00367E46" w:rsidRPr="00C020BA">
                              <w:t xml:space="preserve">completing </w:t>
                            </w:r>
                            <w:r w:rsidR="003B7830" w:rsidRPr="00C020BA">
                              <w:t xml:space="preserve">all </w:t>
                            </w:r>
                            <w:r w:rsidR="00367E46" w:rsidRPr="00C020BA">
                              <w:t>closing activities,</w:t>
                            </w:r>
                            <w:r w:rsidR="00E6286D" w:rsidRPr="00C020BA">
                              <w:t xml:space="preserve"> U</w:t>
                            </w:r>
                            <w:r w:rsidR="00367E46" w:rsidRPr="00C020BA">
                              <w:t xml:space="preserve">NL Accounting finalizes the </w:t>
                            </w:r>
                            <w:r w:rsidR="003B7830" w:rsidRPr="00C020BA">
                              <w:t>fiscal year clos</w:t>
                            </w:r>
                            <w:r w:rsidR="00367E46" w:rsidRPr="00C020BA">
                              <w:t xml:space="preserve">ure. This usually occurs </w:t>
                            </w:r>
                            <w:r w:rsidR="003B7830" w:rsidRPr="00C020BA">
                              <w:t xml:space="preserve">in </w:t>
                            </w:r>
                            <w:r w:rsidR="009223A5" w:rsidRPr="00C020BA">
                              <w:t>August.</w:t>
                            </w:r>
                            <w:r w:rsidR="00754FDF" w:rsidRPr="00C020BA">
                              <w:t xml:space="preserve"> </w:t>
                            </w:r>
                          </w:p>
                          <w:p w14:paraId="24DD8CEB" w14:textId="77777777" w:rsidR="00523136" w:rsidRPr="00C020BA" w:rsidRDefault="00754FDF" w:rsidP="0092781D">
                            <w:pPr>
                              <w:spacing w:after="80" w:line="240" w:lineRule="auto"/>
                            </w:pPr>
                            <w:r w:rsidRPr="00C020BA">
                              <w:rPr>
                                <w:b/>
                                <w:sz w:val="24"/>
                                <w:szCs w:val="24"/>
                              </w:rPr>
                              <w:t>Period 14</w:t>
                            </w:r>
                            <w:r w:rsidRPr="00C020BA">
                              <w:t xml:space="preserve"> is </w:t>
                            </w:r>
                            <w:r w:rsidR="00395FD1" w:rsidRPr="00C020BA">
                              <w:t xml:space="preserve">used </w:t>
                            </w:r>
                            <w:r w:rsidRPr="00C020BA">
                              <w:t>only by the Accounting Office to make necessary changes identified in the year-end audit.</w:t>
                            </w:r>
                          </w:p>
                          <w:p w14:paraId="6273E9C3" w14:textId="3BEB4B4E" w:rsidR="001848C3" w:rsidRPr="00177DA7" w:rsidRDefault="003B7830" w:rsidP="0092781D">
                            <w:pPr>
                              <w:spacing w:after="80" w:line="240" w:lineRule="auto"/>
                            </w:pPr>
                            <w:r w:rsidRPr="00C020BA">
                              <w:t>To illustrate</w:t>
                            </w:r>
                            <w:r w:rsidR="00195F73" w:rsidRPr="00C020BA">
                              <w:t xml:space="preserve"> fiscal periods</w:t>
                            </w:r>
                            <w:r w:rsidR="00037401" w:rsidRPr="00C020BA">
                              <w:t xml:space="preserve"> at year end</w:t>
                            </w:r>
                            <w:r w:rsidRPr="00C020BA">
                              <w:t xml:space="preserve">, the chart below shows dates for </w:t>
                            </w:r>
                            <w:r w:rsidR="00037401" w:rsidRPr="00C020BA">
                              <w:t>F</w:t>
                            </w:r>
                            <w:r w:rsidR="003333E2" w:rsidRPr="00C020BA">
                              <w:t>Y21</w:t>
                            </w:r>
                            <w:r w:rsidRPr="00C020BA">
                              <w:t>.  Each year, dates vary slightly</w:t>
                            </w:r>
                            <w:r w:rsidR="005C300E" w:rsidRPr="00C020BA">
                              <w:t xml:space="preserve"> and are communicated to campus via </w:t>
                            </w:r>
                            <w:r w:rsidR="0092781D" w:rsidRPr="00C020BA">
                              <w:t>the Year End Deadlines and Instructions</w:t>
                            </w:r>
                            <w:r w:rsidR="005C300E" w:rsidRPr="00C020BA">
                              <w:t>, published</w:t>
                            </w:r>
                            <w:r w:rsidR="005C300E" w:rsidRPr="005C300E">
                              <w:t xml:space="preserve"> by Accounting and available on Sapphire.</w:t>
                            </w:r>
                          </w:p>
                          <w:p w14:paraId="13DBC83E" w14:textId="77777777" w:rsidR="00754FDF" w:rsidRDefault="00754FDF" w:rsidP="0092781D">
                            <w:pPr>
                              <w:spacing w:after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2D27F" id="_x0000_s1027" type="#_x0000_t202" style="position:absolute;margin-left:.95pt;margin-top:191.9pt;width:538.55pt;height:229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">
                <v:textbox>
                  <w:txbxContent>
                    <w:p w14:paraId="79F06E82" w14:textId="77777777" w:rsidR="0054337C" w:rsidRDefault="0054337C" w:rsidP="0092781D">
                      <w:pPr>
                        <w:spacing w:after="80" w:line="240" w:lineRule="auto"/>
                      </w:pPr>
                      <w:r w:rsidRPr="00177DA7">
                        <w:rPr>
                          <w:b/>
                          <w:sz w:val="24"/>
                          <w:szCs w:val="24"/>
                        </w:rPr>
                        <w:t>Period 12 (June1)</w:t>
                      </w:r>
                      <w:r>
                        <w:t xml:space="preserve"> is a normal business month, with additional effort put forth by departments to ensure that all financial transactions that occur</w:t>
                      </w:r>
                      <w:r w:rsidR="0041697D">
                        <w:t>red</w:t>
                      </w:r>
                      <w:r>
                        <w:t xml:space="preserve"> in that fiscal year are closed. </w:t>
                      </w:r>
                    </w:p>
                    <w:p w14:paraId="17CC648B" w14:textId="77777777" w:rsidR="00754FDF" w:rsidRPr="00C020BA" w:rsidRDefault="0054337C" w:rsidP="0092781D">
                      <w:pPr>
                        <w:spacing w:after="80" w:line="240" w:lineRule="auto"/>
                      </w:pPr>
                      <w:r w:rsidRPr="00177DA7">
                        <w:rPr>
                          <w:b/>
                          <w:sz w:val="24"/>
                          <w:szCs w:val="24"/>
                        </w:rPr>
                        <w:t>Period 12 (June2)</w:t>
                      </w:r>
                      <w:r>
                        <w:rPr>
                          <w:b/>
                        </w:rPr>
                        <w:t xml:space="preserve"> </w:t>
                      </w:r>
                      <w:r>
                        <w:t xml:space="preserve">occurs in the first two weeks </w:t>
                      </w:r>
                      <w:r w:rsidR="0041697D">
                        <w:t>of</w:t>
                      </w:r>
                      <w:r>
                        <w:t xml:space="preserve"> July. During this time, the financial books for the fiscal year are </w:t>
                      </w:r>
                      <w:r w:rsidRPr="00C020BA">
                        <w:t xml:space="preserve">left open so that departments may make additional June entries to ensure that all financial activity that occurred in June </w:t>
                      </w:r>
                      <w:r w:rsidR="00465B89" w:rsidRPr="00C020BA">
                        <w:t>is</w:t>
                      </w:r>
                      <w:r w:rsidRPr="00C020BA">
                        <w:t xml:space="preserve"> </w:t>
                      </w:r>
                      <w:r w:rsidR="00754FDF" w:rsidRPr="00C020BA">
                        <w:t xml:space="preserve">correctly </w:t>
                      </w:r>
                      <w:r w:rsidR="00367E46" w:rsidRPr="00C020BA">
                        <w:t xml:space="preserve">posted to </w:t>
                      </w:r>
                      <w:r w:rsidR="00754FDF" w:rsidRPr="00C020BA">
                        <w:t>June</w:t>
                      </w:r>
                      <w:r w:rsidRPr="00C020BA">
                        <w:t xml:space="preserve">. </w:t>
                      </w:r>
                      <w:r w:rsidR="00754FDF" w:rsidRPr="00C020BA">
                        <w:t>June2 (period 12 items entered after June 30) includes many transactions posted by administrative offices. Examples of these are payroll accruals and allocations for workers’ comp, unemployment and administrative rates.</w:t>
                      </w:r>
                    </w:p>
                    <w:p w14:paraId="1739F0F4" w14:textId="77777777" w:rsidR="003B7830" w:rsidRPr="00C020BA" w:rsidRDefault="00037401" w:rsidP="0092781D">
                      <w:pPr>
                        <w:spacing w:after="80" w:line="240" w:lineRule="auto"/>
                      </w:pPr>
                      <w:r w:rsidRPr="00C020BA">
                        <w:rPr>
                          <w:b/>
                          <w:sz w:val="24"/>
                          <w:szCs w:val="24"/>
                        </w:rPr>
                        <w:t>Period 13</w:t>
                      </w:r>
                      <w:r w:rsidR="004F7B14" w:rsidRPr="00C020BA">
                        <w:rPr>
                          <w:b/>
                          <w:sz w:val="24"/>
                          <w:szCs w:val="24"/>
                        </w:rPr>
                        <w:t xml:space="preserve"> (</w:t>
                      </w:r>
                      <w:r w:rsidRPr="00C020BA">
                        <w:rPr>
                          <w:b/>
                          <w:sz w:val="24"/>
                          <w:szCs w:val="24"/>
                        </w:rPr>
                        <w:t>June Final</w:t>
                      </w:r>
                      <w:r w:rsidR="004F7B14" w:rsidRPr="00C020BA">
                        <w:rPr>
                          <w:b/>
                          <w:sz w:val="24"/>
                          <w:szCs w:val="24"/>
                        </w:rPr>
                        <w:t>)</w:t>
                      </w:r>
                      <w:r w:rsidRPr="00C020BA">
                        <w:t xml:space="preserve"> </w:t>
                      </w:r>
                      <w:r w:rsidR="004F7B14" w:rsidRPr="00C020BA">
                        <w:t xml:space="preserve">is used </w:t>
                      </w:r>
                      <w:r w:rsidRPr="00C020BA">
                        <w:t xml:space="preserve">to make </w:t>
                      </w:r>
                      <w:r w:rsidR="003B7830" w:rsidRPr="00C020BA">
                        <w:t xml:space="preserve">year-end closing entries and other adjustments. </w:t>
                      </w:r>
                      <w:r w:rsidR="004F7B14" w:rsidRPr="00C020BA">
                        <w:t xml:space="preserve">During the first week of Period 13, departments are able to make final entries and adjustments, then SAP is locked and </w:t>
                      </w:r>
                      <w:r w:rsidR="00E6286D" w:rsidRPr="00C020BA">
                        <w:t xml:space="preserve">for the remainder of </w:t>
                      </w:r>
                      <w:r w:rsidR="004F7B14" w:rsidRPr="00C020BA">
                        <w:t>period</w:t>
                      </w:r>
                      <w:r w:rsidR="00E6286D" w:rsidRPr="00C020BA">
                        <w:t xml:space="preserve"> 13</w:t>
                      </w:r>
                      <w:r w:rsidR="004F7B14" w:rsidRPr="00C020BA">
                        <w:t xml:space="preserve"> only</w:t>
                      </w:r>
                      <w:r w:rsidR="00E6286D" w:rsidRPr="00C020BA">
                        <w:t xml:space="preserve"> </w:t>
                      </w:r>
                      <w:r w:rsidR="004F7B14" w:rsidRPr="00C020BA">
                        <w:t>Accounting</w:t>
                      </w:r>
                      <w:r w:rsidR="00E6286D" w:rsidRPr="00C020BA">
                        <w:t xml:space="preserve"> Office</w:t>
                      </w:r>
                      <w:r w:rsidR="004F7B14" w:rsidRPr="00C020BA">
                        <w:t xml:space="preserve"> staff </w:t>
                      </w:r>
                      <w:r w:rsidR="00E6286D" w:rsidRPr="00C020BA">
                        <w:t>is</w:t>
                      </w:r>
                      <w:r w:rsidR="004F7B14" w:rsidRPr="00C020BA">
                        <w:t xml:space="preserve"> able to make adjustments. </w:t>
                      </w:r>
                      <w:r w:rsidR="00367E46" w:rsidRPr="00C020BA">
                        <w:t>A</w:t>
                      </w:r>
                      <w:r w:rsidR="003B7830" w:rsidRPr="00C020BA">
                        <w:t xml:space="preserve">fter </w:t>
                      </w:r>
                      <w:r w:rsidR="00367E46" w:rsidRPr="00C020BA">
                        <w:t xml:space="preserve">completing </w:t>
                      </w:r>
                      <w:r w:rsidR="003B7830" w:rsidRPr="00C020BA">
                        <w:t xml:space="preserve">all </w:t>
                      </w:r>
                      <w:r w:rsidR="00367E46" w:rsidRPr="00C020BA">
                        <w:t>closing activities,</w:t>
                      </w:r>
                      <w:r w:rsidR="00E6286D" w:rsidRPr="00C020BA">
                        <w:t xml:space="preserve"> U</w:t>
                      </w:r>
                      <w:r w:rsidR="00367E46" w:rsidRPr="00C020BA">
                        <w:t xml:space="preserve">NL Accounting finalizes the </w:t>
                      </w:r>
                      <w:r w:rsidR="003B7830" w:rsidRPr="00C020BA">
                        <w:t>fiscal year clos</w:t>
                      </w:r>
                      <w:r w:rsidR="00367E46" w:rsidRPr="00C020BA">
                        <w:t xml:space="preserve">ure. This usually occurs </w:t>
                      </w:r>
                      <w:r w:rsidR="003B7830" w:rsidRPr="00C020BA">
                        <w:t xml:space="preserve">in </w:t>
                      </w:r>
                      <w:r w:rsidR="009223A5" w:rsidRPr="00C020BA">
                        <w:t>August.</w:t>
                      </w:r>
                      <w:r w:rsidR="00754FDF" w:rsidRPr="00C020BA">
                        <w:t xml:space="preserve"> </w:t>
                      </w:r>
                    </w:p>
                    <w:p w14:paraId="24DD8CEB" w14:textId="77777777" w:rsidR="00523136" w:rsidRPr="00C020BA" w:rsidRDefault="00754FDF" w:rsidP="0092781D">
                      <w:pPr>
                        <w:spacing w:after="80" w:line="240" w:lineRule="auto"/>
                      </w:pPr>
                      <w:r w:rsidRPr="00C020BA">
                        <w:rPr>
                          <w:b/>
                          <w:sz w:val="24"/>
                          <w:szCs w:val="24"/>
                        </w:rPr>
                        <w:t>Period 14</w:t>
                      </w:r>
                      <w:r w:rsidRPr="00C020BA">
                        <w:t xml:space="preserve"> is </w:t>
                      </w:r>
                      <w:r w:rsidR="00395FD1" w:rsidRPr="00C020BA">
                        <w:t xml:space="preserve">used </w:t>
                      </w:r>
                      <w:r w:rsidRPr="00C020BA">
                        <w:t>only by the Accounting Office to make necessary changes identified in the year-end audit.</w:t>
                      </w:r>
                    </w:p>
                    <w:p w14:paraId="6273E9C3" w14:textId="3BEB4B4E" w:rsidR="001848C3" w:rsidRPr="00177DA7" w:rsidRDefault="003B7830" w:rsidP="0092781D">
                      <w:pPr>
                        <w:spacing w:after="80" w:line="240" w:lineRule="auto"/>
                      </w:pPr>
                      <w:r w:rsidRPr="00C020BA">
                        <w:t>To illustrate</w:t>
                      </w:r>
                      <w:r w:rsidR="00195F73" w:rsidRPr="00C020BA">
                        <w:t xml:space="preserve"> fiscal periods</w:t>
                      </w:r>
                      <w:r w:rsidR="00037401" w:rsidRPr="00C020BA">
                        <w:t xml:space="preserve"> at year end</w:t>
                      </w:r>
                      <w:r w:rsidRPr="00C020BA">
                        <w:t xml:space="preserve">, the chart below shows dates for </w:t>
                      </w:r>
                      <w:r w:rsidR="00037401" w:rsidRPr="00C020BA">
                        <w:t>F</w:t>
                      </w:r>
                      <w:r w:rsidR="003333E2" w:rsidRPr="00C020BA">
                        <w:t>Y21</w:t>
                      </w:r>
                      <w:r w:rsidRPr="00C020BA">
                        <w:t>.  Each year, dates vary slightly</w:t>
                      </w:r>
                      <w:r w:rsidR="005C300E" w:rsidRPr="00C020BA">
                        <w:t xml:space="preserve"> and are communicated to campus via </w:t>
                      </w:r>
                      <w:r w:rsidR="0092781D" w:rsidRPr="00C020BA">
                        <w:t>the Year End Deadlines and Instructions</w:t>
                      </w:r>
                      <w:r w:rsidR="005C300E" w:rsidRPr="00C020BA">
                        <w:t>, published</w:t>
                      </w:r>
                      <w:r w:rsidR="005C300E" w:rsidRPr="005C300E">
                        <w:t xml:space="preserve"> by Accounting and available on Sapphire.</w:t>
                      </w:r>
                    </w:p>
                    <w:p w14:paraId="13DBC83E" w14:textId="77777777" w:rsidR="00754FDF" w:rsidRDefault="00754FDF" w:rsidP="0092781D">
                      <w:pPr>
                        <w:spacing w:after="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2781D" w:rsidRPr="00DC1CB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3D11212" wp14:editId="188BDB78">
                <wp:simplePos x="0" y="0"/>
                <wp:positionH relativeFrom="margin">
                  <wp:posOffset>0</wp:posOffset>
                </wp:positionH>
                <wp:positionV relativeFrom="paragraph">
                  <wp:posOffset>2166002</wp:posOffset>
                </wp:positionV>
                <wp:extent cx="6848475" cy="237490"/>
                <wp:effectExtent l="0" t="0" r="9525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3749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C39E2" w14:textId="77777777" w:rsidR="00195F73" w:rsidRPr="00DC1CBF" w:rsidRDefault="00195F73" w:rsidP="00195F7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Fiscal Year End</w:t>
                            </w:r>
                          </w:p>
                        </w:txbxContent>
                      </wps:txbx>
                      <wps:bodyPr rot="0" vert="horz" wrap="square" lIns="91440" tIns="9144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11212" id="_x0000_s1028" type="#_x0000_t202" style="position:absolute;margin-left:0;margin-top:170.55pt;width:539.25pt;height:18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" fillcolor="#c00" stroked="f">
                <v:textbox inset=",.72pt">
                  <w:txbxContent>
                    <w:p w14:paraId="255C39E2" w14:textId="77777777" w:rsidR="00195F73" w:rsidRPr="00DC1CBF" w:rsidRDefault="00195F73" w:rsidP="00195F7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Fiscal Year End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2781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8F4613" wp14:editId="2B2E1634">
                <wp:simplePos x="0" y="0"/>
                <wp:positionH relativeFrom="margin">
                  <wp:posOffset>3810</wp:posOffset>
                </wp:positionH>
                <wp:positionV relativeFrom="paragraph">
                  <wp:posOffset>320040</wp:posOffset>
                </wp:positionV>
                <wp:extent cx="6839585" cy="1804035"/>
                <wp:effectExtent l="0" t="0" r="18415" b="2476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1804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EA454" w14:textId="77777777" w:rsidR="00004386" w:rsidRPr="00C020BA" w:rsidRDefault="001848C3" w:rsidP="0092781D">
                            <w:pPr>
                              <w:spacing w:after="80" w:line="240" w:lineRule="auto"/>
                            </w:pPr>
                            <w:r w:rsidRPr="00C020BA">
                              <w:rPr>
                                <w:b/>
                                <w:sz w:val="24"/>
                                <w:szCs w:val="24"/>
                              </w:rPr>
                              <w:t>Fiscal Year</w:t>
                            </w:r>
                            <w:r w:rsidRPr="00C020BA">
                              <w:t xml:space="preserve"> -- </w:t>
                            </w:r>
                            <w:r w:rsidR="00610018" w:rsidRPr="00C020BA">
                              <w:t xml:space="preserve">At the University of Nebraska, the </w:t>
                            </w:r>
                            <w:r w:rsidR="00610018" w:rsidRPr="00C020BA">
                              <w:rPr>
                                <w:b/>
                              </w:rPr>
                              <w:t>fiscal year runs from July 1</w:t>
                            </w:r>
                            <w:r w:rsidR="00610018" w:rsidRPr="00C020BA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 w:rsidR="00610018" w:rsidRPr="00C020BA">
                              <w:rPr>
                                <w:b/>
                              </w:rPr>
                              <w:t xml:space="preserve"> through June 30</w:t>
                            </w:r>
                            <w:r w:rsidR="00610018" w:rsidRPr="00C020BA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="00610018" w:rsidRPr="00C020BA">
                              <w:t xml:space="preserve">.  </w:t>
                            </w:r>
                            <w:r w:rsidR="00A9076E" w:rsidRPr="00C020BA">
                              <w:t>In</w:t>
                            </w:r>
                            <w:r w:rsidR="00496F54" w:rsidRPr="00C020BA">
                              <w:t xml:space="preserve"> general</w:t>
                            </w:r>
                            <w:r w:rsidR="00A9076E" w:rsidRPr="00C020BA">
                              <w:t>, a “fiscal year” refers to a</w:t>
                            </w:r>
                            <w:r w:rsidR="00496F54" w:rsidRPr="00C020BA">
                              <w:t xml:space="preserve"> </w:t>
                            </w:r>
                            <w:r w:rsidR="00496F54" w:rsidRPr="00C020BA">
                              <w:rPr>
                                <w:b/>
                              </w:rPr>
                              <w:t xml:space="preserve">12-month </w:t>
                            </w:r>
                            <w:r w:rsidR="00251F88" w:rsidRPr="00C020BA">
                              <w:rPr>
                                <w:b/>
                              </w:rPr>
                              <w:t xml:space="preserve">period </w:t>
                            </w:r>
                            <w:r w:rsidR="001B7D63" w:rsidRPr="00C020BA">
                              <w:rPr>
                                <w:b/>
                              </w:rPr>
                              <w:t xml:space="preserve">used for </w:t>
                            </w:r>
                            <w:r w:rsidR="00610018" w:rsidRPr="00C020BA">
                              <w:rPr>
                                <w:b/>
                              </w:rPr>
                              <w:t>ac</w:t>
                            </w:r>
                            <w:r w:rsidR="001B7D63" w:rsidRPr="00C020BA">
                              <w:rPr>
                                <w:b/>
                              </w:rPr>
                              <w:t>counting purposes</w:t>
                            </w:r>
                            <w:r w:rsidR="0054337C" w:rsidRPr="00C020BA">
                              <w:rPr>
                                <w:b/>
                              </w:rPr>
                              <w:t>.</w:t>
                            </w:r>
                            <w:r w:rsidR="001B7D63" w:rsidRPr="00C020BA">
                              <w:t xml:space="preserve"> </w:t>
                            </w:r>
                          </w:p>
                          <w:p w14:paraId="4642FEF6" w14:textId="2512C72D" w:rsidR="00975364" w:rsidRPr="00C020BA" w:rsidRDefault="00634B3F" w:rsidP="0092781D">
                            <w:pPr>
                              <w:spacing w:after="80" w:line="240" w:lineRule="auto"/>
                            </w:pPr>
                            <w:r w:rsidRPr="00C020BA">
                              <w:t xml:space="preserve">A fiscal year is identified </w:t>
                            </w:r>
                            <w:r w:rsidR="003A41EE" w:rsidRPr="00C020BA">
                              <w:t>by</w:t>
                            </w:r>
                            <w:r w:rsidRPr="00C020BA">
                              <w:t xml:space="preserve"> the year in which the fiscal year ends. For example, the fiscal year starting </w:t>
                            </w:r>
                            <w:r w:rsidR="00A20762" w:rsidRPr="00C020BA">
                              <w:t>July 1, 2020 and ending June 30, 2021 is referred to as “FY21</w:t>
                            </w:r>
                            <w:r w:rsidRPr="00C020BA">
                              <w:t xml:space="preserve">.” </w:t>
                            </w:r>
                            <w:r w:rsidR="00004386" w:rsidRPr="00C020BA">
                              <w:t>Sometimes a fiscal year is refer</w:t>
                            </w:r>
                            <w:r w:rsidR="00C020BA" w:rsidRPr="00C020BA">
                              <w:t>enced</w:t>
                            </w:r>
                            <w:r w:rsidR="00004386" w:rsidRPr="00C020BA">
                              <w:t xml:space="preserve"> with both years – </w:t>
                            </w:r>
                            <w:r w:rsidR="00A20762" w:rsidRPr="00C020BA">
                              <w:t>FY20/21</w:t>
                            </w:r>
                            <w:r w:rsidR="00004386" w:rsidRPr="00C020BA">
                              <w:t>. SAP re</w:t>
                            </w:r>
                            <w:r w:rsidR="00A20762" w:rsidRPr="00C020BA">
                              <w:t xml:space="preserve">ports use the </w:t>
                            </w:r>
                            <w:proofErr w:type="gramStart"/>
                            <w:r w:rsidR="00A20762" w:rsidRPr="00C020BA">
                              <w:t>4 digit</w:t>
                            </w:r>
                            <w:proofErr w:type="gramEnd"/>
                            <w:r w:rsidR="00A20762" w:rsidRPr="00C020BA">
                              <w:t xml:space="preserve"> year – 2021 for FY21</w:t>
                            </w:r>
                            <w:r w:rsidR="00004386" w:rsidRPr="00C020BA">
                              <w:t>.</w:t>
                            </w:r>
                            <w:r w:rsidR="00975364" w:rsidRPr="00C020BA">
                              <w:t xml:space="preserve"> </w:t>
                            </w:r>
                          </w:p>
                          <w:p w14:paraId="133BF20C" w14:textId="77777777" w:rsidR="00975364" w:rsidRPr="00C020BA" w:rsidRDefault="00177DA7" w:rsidP="0092781D">
                            <w:pPr>
                              <w:spacing w:after="80" w:line="240" w:lineRule="auto"/>
                            </w:pPr>
                            <w:r w:rsidRPr="00C020BA">
                              <w:rPr>
                                <w:b/>
                                <w:sz w:val="24"/>
                                <w:szCs w:val="24"/>
                              </w:rPr>
                              <w:t>Fiscal Period</w:t>
                            </w:r>
                            <w:r w:rsidRPr="00C020BA">
                              <w:rPr>
                                <w:b/>
                              </w:rPr>
                              <w:t xml:space="preserve"> -- </w:t>
                            </w:r>
                            <w:r w:rsidR="00975364" w:rsidRPr="00C020BA">
                              <w:rPr>
                                <w:b/>
                              </w:rPr>
                              <w:t>Each month in a fiscal year is called a fiscal period.</w:t>
                            </w:r>
                            <w:r w:rsidR="00975364" w:rsidRPr="00C020BA">
                              <w:t xml:space="preserve"> Because July is the first month of the fiscal year, July is fiscal period 01, August is period 02 and so on, ending in June with period 12. </w:t>
                            </w:r>
                          </w:p>
                          <w:p w14:paraId="7DC15F31" w14:textId="77777777" w:rsidR="00975364" w:rsidRDefault="00975364" w:rsidP="0092781D">
                            <w:pPr>
                              <w:spacing w:after="80" w:line="240" w:lineRule="auto"/>
                            </w:pPr>
                            <w:r w:rsidRPr="00C020BA">
                              <w:t>Following period 12, there are t</w:t>
                            </w:r>
                            <w:r w:rsidR="0054337C" w:rsidRPr="00C020BA">
                              <w:t>wo</w:t>
                            </w:r>
                            <w:r w:rsidRPr="00C020BA">
                              <w:t xml:space="preserve"> additional periods included</w:t>
                            </w:r>
                            <w:r>
                              <w:t xml:space="preserve"> in a fiscal year. These additional periods allow time to complete accounting procedures to close the financial books for the completed fiscal year. </w:t>
                            </w:r>
                          </w:p>
                          <w:p w14:paraId="7E6DDAC6" w14:textId="77777777" w:rsidR="00004386" w:rsidRDefault="00004386" w:rsidP="003B7830">
                            <w:pPr>
                              <w:spacing w:after="120" w:line="240" w:lineRule="auto"/>
                            </w:pPr>
                          </w:p>
                          <w:p w14:paraId="576EE76C" w14:textId="77777777" w:rsidR="00496F54" w:rsidRDefault="00496F54" w:rsidP="00496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F4613" id="_x0000_s1029" type="#_x0000_t202" style="position:absolute;margin-left:.3pt;margin-top:25.2pt;width:538.55pt;height:142.0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">
                <v:textbox>
                  <w:txbxContent>
                    <w:p w14:paraId="478EA454" w14:textId="77777777" w:rsidR="00004386" w:rsidRPr="00C020BA" w:rsidRDefault="001848C3" w:rsidP="0092781D">
                      <w:pPr>
                        <w:spacing w:after="80" w:line="240" w:lineRule="auto"/>
                      </w:pPr>
                      <w:r w:rsidRPr="00C020BA">
                        <w:rPr>
                          <w:b/>
                          <w:sz w:val="24"/>
                          <w:szCs w:val="24"/>
                        </w:rPr>
                        <w:t>Fiscal Year</w:t>
                      </w:r>
                      <w:r w:rsidRPr="00C020BA">
                        <w:t xml:space="preserve"> -- </w:t>
                      </w:r>
                      <w:r w:rsidR="00610018" w:rsidRPr="00C020BA">
                        <w:t xml:space="preserve">At the University of Nebraska, the </w:t>
                      </w:r>
                      <w:r w:rsidR="00610018" w:rsidRPr="00C020BA">
                        <w:rPr>
                          <w:b/>
                        </w:rPr>
                        <w:t>fiscal year runs from July 1</w:t>
                      </w:r>
                      <w:r w:rsidR="00610018" w:rsidRPr="00C020BA">
                        <w:rPr>
                          <w:b/>
                          <w:vertAlign w:val="superscript"/>
                        </w:rPr>
                        <w:t>st</w:t>
                      </w:r>
                      <w:r w:rsidR="00610018" w:rsidRPr="00C020BA">
                        <w:rPr>
                          <w:b/>
                        </w:rPr>
                        <w:t xml:space="preserve"> through June 30</w:t>
                      </w:r>
                      <w:r w:rsidR="00610018" w:rsidRPr="00C020BA">
                        <w:rPr>
                          <w:b/>
                          <w:vertAlign w:val="superscript"/>
                        </w:rPr>
                        <w:t>th</w:t>
                      </w:r>
                      <w:r w:rsidR="00610018" w:rsidRPr="00C020BA">
                        <w:t xml:space="preserve">.  </w:t>
                      </w:r>
                      <w:r w:rsidR="00A9076E" w:rsidRPr="00C020BA">
                        <w:t>In</w:t>
                      </w:r>
                      <w:r w:rsidR="00496F54" w:rsidRPr="00C020BA">
                        <w:t xml:space="preserve"> general</w:t>
                      </w:r>
                      <w:r w:rsidR="00A9076E" w:rsidRPr="00C020BA">
                        <w:t>, a “fiscal year” refers to a</w:t>
                      </w:r>
                      <w:r w:rsidR="00496F54" w:rsidRPr="00C020BA">
                        <w:t xml:space="preserve"> </w:t>
                      </w:r>
                      <w:r w:rsidR="00496F54" w:rsidRPr="00C020BA">
                        <w:rPr>
                          <w:b/>
                        </w:rPr>
                        <w:t xml:space="preserve">12-month </w:t>
                      </w:r>
                      <w:r w:rsidR="00251F88" w:rsidRPr="00C020BA">
                        <w:rPr>
                          <w:b/>
                        </w:rPr>
                        <w:t xml:space="preserve">period </w:t>
                      </w:r>
                      <w:r w:rsidR="001B7D63" w:rsidRPr="00C020BA">
                        <w:rPr>
                          <w:b/>
                        </w:rPr>
                        <w:t xml:space="preserve">used for </w:t>
                      </w:r>
                      <w:r w:rsidR="00610018" w:rsidRPr="00C020BA">
                        <w:rPr>
                          <w:b/>
                        </w:rPr>
                        <w:t>ac</w:t>
                      </w:r>
                      <w:r w:rsidR="001B7D63" w:rsidRPr="00C020BA">
                        <w:rPr>
                          <w:b/>
                        </w:rPr>
                        <w:t>counting purposes</w:t>
                      </w:r>
                      <w:r w:rsidR="0054337C" w:rsidRPr="00C020BA">
                        <w:rPr>
                          <w:b/>
                        </w:rPr>
                        <w:t>.</w:t>
                      </w:r>
                      <w:r w:rsidR="001B7D63" w:rsidRPr="00C020BA">
                        <w:t xml:space="preserve"> </w:t>
                      </w:r>
                    </w:p>
                    <w:p w14:paraId="4642FEF6" w14:textId="2512C72D" w:rsidR="00975364" w:rsidRPr="00C020BA" w:rsidRDefault="00634B3F" w:rsidP="0092781D">
                      <w:pPr>
                        <w:spacing w:after="80" w:line="240" w:lineRule="auto"/>
                      </w:pPr>
                      <w:r w:rsidRPr="00C020BA">
                        <w:t xml:space="preserve">A fiscal year is identified </w:t>
                      </w:r>
                      <w:r w:rsidR="003A41EE" w:rsidRPr="00C020BA">
                        <w:t>by</w:t>
                      </w:r>
                      <w:r w:rsidRPr="00C020BA">
                        <w:t xml:space="preserve"> the year in which the fiscal year ends. For example, the fiscal year starting </w:t>
                      </w:r>
                      <w:r w:rsidR="00A20762" w:rsidRPr="00C020BA">
                        <w:t>July 1, 2020 and ending June 30, 2021 is referred to as “FY21</w:t>
                      </w:r>
                      <w:r w:rsidRPr="00C020BA">
                        <w:t xml:space="preserve">.” </w:t>
                      </w:r>
                      <w:r w:rsidR="00004386" w:rsidRPr="00C020BA">
                        <w:t>Sometimes a fiscal year is refer</w:t>
                      </w:r>
                      <w:r w:rsidR="00C020BA" w:rsidRPr="00C020BA">
                        <w:t>enced</w:t>
                      </w:r>
                      <w:r w:rsidR="00004386" w:rsidRPr="00C020BA">
                        <w:t xml:space="preserve"> with both years – </w:t>
                      </w:r>
                      <w:r w:rsidR="00A20762" w:rsidRPr="00C020BA">
                        <w:t>FY20/21</w:t>
                      </w:r>
                      <w:r w:rsidR="00004386" w:rsidRPr="00C020BA">
                        <w:t>. SAP re</w:t>
                      </w:r>
                      <w:r w:rsidR="00A20762" w:rsidRPr="00C020BA">
                        <w:t xml:space="preserve">ports use the </w:t>
                      </w:r>
                      <w:proofErr w:type="gramStart"/>
                      <w:r w:rsidR="00A20762" w:rsidRPr="00C020BA">
                        <w:t>4 digit</w:t>
                      </w:r>
                      <w:proofErr w:type="gramEnd"/>
                      <w:r w:rsidR="00A20762" w:rsidRPr="00C020BA">
                        <w:t xml:space="preserve"> year – 2021 for FY21</w:t>
                      </w:r>
                      <w:r w:rsidR="00004386" w:rsidRPr="00C020BA">
                        <w:t>.</w:t>
                      </w:r>
                      <w:r w:rsidR="00975364" w:rsidRPr="00C020BA">
                        <w:t xml:space="preserve"> </w:t>
                      </w:r>
                    </w:p>
                    <w:p w14:paraId="133BF20C" w14:textId="77777777" w:rsidR="00975364" w:rsidRPr="00C020BA" w:rsidRDefault="00177DA7" w:rsidP="0092781D">
                      <w:pPr>
                        <w:spacing w:after="80" w:line="240" w:lineRule="auto"/>
                      </w:pPr>
                      <w:r w:rsidRPr="00C020BA">
                        <w:rPr>
                          <w:b/>
                          <w:sz w:val="24"/>
                          <w:szCs w:val="24"/>
                        </w:rPr>
                        <w:t>Fiscal Period</w:t>
                      </w:r>
                      <w:r w:rsidRPr="00C020BA">
                        <w:rPr>
                          <w:b/>
                        </w:rPr>
                        <w:t xml:space="preserve"> -- </w:t>
                      </w:r>
                      <w:r w:rsidR="00975364" w:rsidRPr="00C020BA">
                        <w:rPr>
                          <w:b/>
                        </w:rPr>
                        <w:t>Each month in a fiscal year is called a fiscal period.</w:t>
                      </w:r>
                      <w:r w:rsidR="00975364" w:rsidRPr="00C020BA">
                        <w:t xml:space="preserve"> Because July is the first month of the fiscal year, July is fiscal period 01, August is period 02 and so on, ending in June with period 12. </w:t>
                      </w:r>
                    </w:p>
                    <w:p w14:paraId="7DC15F31" w14:textId="77777777" w:rsidR="00975364" w:rsidRDefault="00975364" w:rsidP="0092781D">
                      <w:pPr>
                        <w:spacing w:after="80" w:line="240" w:lineRule="auto"/>
                      </w:pPr>
                      <w:r w:rsidRPr="00C020BA">
                        <w:t>Following period 12, there are t</w:t>
                      </w:r>
                      <w:r w:rsidR="0054337C" w:rsidRPr="00C020BA">
                        <w:t>wo</w:t>
                      </w:r>
                      <w:r w:rsidRPr="00C020BA">
                        <w:t xml:space="preserve"> additional periods included</w:t>
                      </w:r>
                      <w:r>
                        <w:t xml:space="preserve"> in a fiscal year. These additional periods allow time to complete accounting procedures to close the financial books for the completed fiscal year. </w:t>
                      </w:r>
                    </w:p>
                    <w:p w14:paraId="7E6DDAC6" w14:textId="77777777" w:rsidR="00004386" w:rsidRDefault="00004386" w:rsidP="003B7830">
                      <w:pPr>
                        <w:spacing w:after="120" w:line="240" w:lineRule="auto"/>
                      </w:pPr>
                    </w:p>
                    <w:p w14:paraId="576EE76C" w14:textId="77777777" w:rsidR="00496F54" w:rsidRDefault="00496F54" w:rsidP="00496F54"/>
                  </w:txbxContent>
                </v:textbox>
                <w10:wrap type="square" anchorx="margin"/>
              </v:shape>
            </w:pict>
          </mc:Fallback>
        </mc:AlternateContent>
      </w:r>
      <w:r w:rsidR="00EF3D2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E2E67A" wp14:editId="42B0B2EF">
                <wp:simplePos x="0" y="0"/>
                <wp:positionH relativeFrom="margin">
                  <wp:posOffset>1791</wp:posOffset>
                </wp:positionH>
                <wp:positionV relativeFrom="paragraph">
                  <wp:posOffset>7575550</wp:posOffset>
                </wp:positionV>
                <wp:extent cx="6848856" cy="1481328"/>
                <wp:effectExtent l="0" t="0" r="28575" b="2413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856" cy="148132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ED9F1" w14:textId="77777777" w:rsidR="00BC7C68" w:rsidRPr="00C020BA" w:rsidRDefault="00F33DFA" w:rsidP="005C300E">
                            <w:pPr>
                              <w:spacing w:after="120" w:line="240" w:lineRule="auto"/>
                            </w:pPr>
                            <w:r>
                              <w:t>In SAP reports, t</w:t>
                            </w:r>
                            <w:r w:rsidR="00995F13">
                              <w:t xml:space="preserve">he fiscal year and period default to </w:t>
                            </w:r>
                            <w:r w:rsidR="003F747C">
                              <w:t xml:space="preserve">the </w:t>
                            </w:r>
                            <w:r w:rsidR="00995F13">
                              <w:t xml:space="preserve">current </w:t>
                            </w:r>
                            <w:r w:rsidR="003F747C">
                              <w:t>fiscal year</w:t>
                            </w:r>
                            <w:r w:rsidR="00995F13">
                              <w:t xml:space="preserve">. When running reports on the first </w:t>
                            </w:r>
                            <w:r w:rsidR="00995F13" w:rsidRPr="00C020BA">
                              <w:t>business day of each month to capture period ending balances, make sure to change the fiscal period back one to reflect the previous month end balances.</w:t>
                            </w:r>
                          </w:p>
                          <w:p w14:paraId="2E9BA14F" w14:textId="702662E7" w:rsidR="00995F13" w:rsidRPr="00C020BA" w:rsidRDefault="00995F13" w:rsidP="005C300E">
                            <w:pPr>
                              <w:spacing w:after="120" w:line="240" w:lineRule="auto"/>
                            </w:pPr>
                            <w:r w:rsidRPr="00C020BA">
                              <w:t>The fiscal period in Portal reports is 3 digits long so 02 becomes 002. It is also combined with t</w:t>
                            </w:r>
                            <w:r w:rsidR="001848C3" w:rsidRPr="00C020BA">
                              <w:t>he fiscal year in one field so P</w:t>
                            </w:r>
                            <w:r w:rsidR="009C1B34" w:rsidRPr="00C020BA">
                              <w:t>eriod 2 in FY22</w:t>
                            </w:r>
                            <w:r w:rsidRPr="00C020BA">
                              <w:t xml:space="preserve"> should be entered as 002</w:t>
                            </w:r>
                            <w:r w:rsidR="009C1B34" w:rsidRPr="00C020BA">
                              <w:t>/2022</w:t>
                            </w:r>
                            <w:r w:rsidRPr="00C020BA">
                              <w:t>.</w:t>
                            </w:r>
                          </w:p>
                          <w:p w14:paraId="2388145D" w14:textId="77777777" w:rsidR="003063DF" w:rsidRDefault="003063DF" w:rsidP="005C300E">
                            <w:pPr>
                              <w:spacing w:after="120" w:line="240" w:lineRule="auto"/>
                            </w:pPr>
                            <w:r w:rsidRPr="00C020BA">
                              <w:t>When running reports for previous fiscal years, be</w:t>
                            </w:r>
                            <w:r w:rsidR="001848C3" w:rsidRPr="00C020BA">
                              <w:t xml:space="preserve"> sure to select P</w:t>
                            </w:r>
                            <w:r w:rsidRPr="00C020BA">
                              <w:t>eriod 14 to include the absolute final balances for the fiscal year. If yo</w:t>
                            </w:r>
                            <w:r w:rsidR="001848C3" w:rsidRPr="00C020BA">
                              <w:t>ur cost object(s) did not have P</w:t>
                            </w:r>
                            <w:r w:rsidRPr="00C020BA">
                              <w:t>eriod 14 entries</w:t>
                            </w:r>
                            <w:r w:rsidR="001848C3" w:rsidRPr="00C020BA">
                              <w:t>, the reports</w:t>
                            </w:r>
                            <w:r w:rsidR="001848C3">
                              <w:t xml:space="preserve"> will reflect the P</w:t>
                            </w:r>
                            <w:r>
                              <w:t>eriod 13 balances.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2E67A" id="Text Box 5" o:spid="_x0000_s1030" type="#_x0000_t202" style="position:absolute;margin-left:.15pt;margin-top:596.5pt;width:539.3pt;height:116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" fillcolor="white [3201]" strokeweight=".5pt">
                <v:textbox>
                  <w:txbxContent>
                    <w:p w14:paraId="041ED9F1" w14:textId="77777777" w:rsidR="00BC7C68" w:rsidRPr="00C020BA" w:rsidRDefault="00F33DFA" w:rsidP="005C300E">
                      <w:pPr>
                        <w:spacing w:after="120" w:line="240" w:lineRule="auto"/>
                      </w:pPr>
                      <w:r>
                        <w:t>In SAP reports, t</w:t>
                      </w:r>
                      <w:r w:rsidR="00995F13">
                        <w:t xml:space="preserve">he fiscal year and period default to </w:t>
                      </w:r>
                      <w:r w:rsidR="003F747C">
                        <w:t xml:space="preserve">the </w:t>
                      </w:r>
                      <w:r w:rsidR="00995F13">
                        <w:t xml:space="preserve">current </w:t>
                      </w:r>
                      <w:r w:rsidR="003F747C">
                        <w:t>fiscal year</w:t>
                      </w:r>
                      <w:r w:rsidR="00995F13">
                        <w:t xml:space="preserve">. When running reports on the first </w:t>
                      </w:r>
                      <w:r w:rsidR="00995F13" w:rsidRPr="00C020BA">
                        <w:t>business day of each month to capture period ending balances, make sure to change the fiscal period back one to reflect the previous month end balances.</w:t>
                      </w:r>
                    </w:p>
                    <w:p w14:paraId="2E9BA14F" w14:textId="702662E7" w:rsidR="00995F13" w:rsidRPr="00C020BA" w:rsidRDefault="00995F13" w:rsidP="005C300E">
                      <w:pPr>
                        <w:spacing w:after="120" w:line="240" w:lineRule="auto"/>
                      </w:pPr>
                      <w:r w:rsidRPr="00C020BA">
                        <w:t>The fiscal period in Portal reports is 3 digits long so 02 becomes 002. It is also combined with t</w:t>
                      </w:r>
                      <w:r w:rsidR="001848C3" w:rsidRPr="00C020BA">
                        <w:t>he fiscal year in one field so P</w:t>
                      </w:r>
                      <w:r w:rsidR="009C1B34" w:rsidRPr="00C020BA">
                        <w:t>eriod 2 in FY22</w:t>
                      </w:r>
                      <w:r w:rsidRPr="00C020BA">
                        <w:t xml:space="preserve"> should be entered as 002</w:t>
                      </w:r>
                      <w:r w:rsidR="009C1B34" w:rsidRPr="00C020BA">
                        <w:t>/2022</w:t>
                      </w:r>
                      <w:r w:rsidRPr="00C020BA">
                        <w:t>.</w:t>
                      </w:r>
                    </w:p>
                    <w:p w14:paraId="2388145D" w14:textId="77777777" w:rsidR="003063DF" w:rsidRDefault="003063DF" w:rsidP="005C300E">
                      <w:pPr>
                        <w:spacing w:after="120" w:line="240" w:lineRule="auto"/>
                      </w:pPr>
                      <w:r w:rsidRPr="00C020BA">
                        <w:t>When running reports for previous fiscal years, be</w:t>
                      </w:r>
                      <w:r w:rsidR="001848C3" w:rsidRPr="00C020BA">
                        <w:t xml:space="preserve"> sure to select P</w:t>
                      </w:r>
                      <w:r w:rsidRPr="00C020BA">
                        <w:t>eriod 14 to include the absolute final balances for the fiscal year. If yo</w:t>
                      </w:r>
                      <w:r w:rsidR="001848C3" w:rsidRPr="00C020BA">
                        <w:t>ur cost object(s) did not have P</w:t>
                      </w:r>
                      <w:r w:rsidRPr="00C020BA">
                        <w:t>eriod 14 entries</w:t>
                      </w:r>
                      <w:r w:rsidR="001848C3" w:rsidRPr="00C020BA">
                        <w:t>, the reports</w:t>
                      </w:r>
                      <w:r w:rsidR="001848C3">
                        <w:t xml:space="preserve"> will reflect the P</w:t>
                      </w:r>
                      <w:r>
                        <w:t>eriod 13 balances.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F3D2F" w:rsidRPr="00DC1CB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FCD41C9" wp14:editId="3B3B92B3">
                <wp:simplePos x="0" y="0"/>
                <wp:positionH relativeFrom="margin">
                  <wp:posOffset>0</wp:posOffset>
                </wp:positionH>
                <wp:positionV relativeFrom="paragraph">
                  <wp:posOffset>7282815</wp:posOffset>
                </wp:positionV>
                <wp:extent cx="6848475" cy="23749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3749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EA34F7" w14:textId="77777777" w:rsidR="00195F73" w:rsidRPr="00DC1CBF" w:rsidRDefault="00195F73" w:rsidP="00195F73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Tips for Running Reports</w:t>
                            </w:r>
                          </w:p>
                        </w:txbxContent>
                      </wps:txbx>
                      <wps:bodyPr rot="0" vert="horz" wrap="square" lIns="91440" tIns="9144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D41C9" id="_x0000_s1031" type="#_x0000_t202" style="position:absolute;margin-left:0;margin-top:573.45pt;width:539.25pt;height:18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" fillcolor="#c00" stroked="f">
                <v:textbox inset=",.72pt">
                  <w:txbxContent>
                    <w:p w14:paraId="34EA34F7" w14:textId="77777777" w:rsidR="00195F73" w:rsidRPr="00DC1CBF" w:rsidRDefault="00195F73" w:rsidP="00195F73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Tips for Running Reports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E1EAD" w:rsidRPr="00DC1CBF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DE73C2" wp14:editId="710B87C8">
                <wp:simplePos x="0" y="0"/>
                <wp:positionH relativeFrom="margin">
                  <wp:posOffset>3175</wp:posOffset>
                </wp:positionH>
                <wp:positionV relativeFrom="paragraph">
                  <wp:posOffset>51435</wp:posOffset>
                </wp:positionV>
                <wp:extent cx="6848475" cy="233680"/>
                <wp:effectExtent l="0" t="0" r="952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233680"/>
                        </a:xfrm>
                        <a:prstGeom prst="rect">
                          <a:avLst/>
                        </a:prstGeom>
                        <a:solidFill>
                          <a:srgbClr val="CC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BF86A" w14:textId="77777777" w:rsidR="00CB5D72" w:rsidRPr="00DC1CBF" w:rsidRDefault="00CB5D72" w:rsidP="00CB5D7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Overview</w:t>
                            </w:r>
                          </w:p>
                        </w:txbxContent>
                      </wps:txbx>
                      <wps:bodyPr rot="0" vert="horz" wrap="square" lIns="91440" tIns="9144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DE73C2" id="_x0000_s1032" type="#_x0000_t202" style="position:absolute;margin-left:.25pt;margin-top:4.05pt;width:539.25pt;height:18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" fillcolor="#c00" stroked="f">
                <v:textbox inset=",.72pt">
                  <w:txbxContent>
                    <w:p w14:paraId="5BABF86A" w14:textId="77777777" w:rsidR="00CB5D72" w:rsidRPr="00DC1CBF" w:rsidRDefault="00CB5D72" w:rsidP="00CB5D72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Overview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2452F" w:rsidSect="00DC1CBF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48D04" w14:textId="77777777" w:rsidR="00F16640" w:rsidRDefault="00F16640" w:rsidP="00DC1CBF">
      <w:pPr>
        <w:spacing w:after="0" w:line="240" w:lineRule="auto"/>
      </w:pPr>
      <w:r>
        <w:separator/>
      </w:r>
    </w:p>
  </w:endnote>
  <w:endnote w:type="continuationSeparator" w:id="0">
    <w:p w14:paraId="622DC3E0" w14:textId="77777777" w:rsidR="00F16640" w:rsidRDefault="00F16640" w:rsidP="00DC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D1B169" w14:textId="77777777" w:rsidR="00DC1CBF" w:rsidRDefault="00DC1CBF">
    <w:pPr>
      <w:pStyle w:val="Footer"/>
    </w:pPr>
    <w:r>
      <w:t>Updated xx/xx/xx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D25D99" w14:textId="77777777" w:rsidR="00F16640" w:rsidRDefault="00F16640" w:rsidP="00DC1CBF">
      <w:pPr>
        <w:spacing w:after="0" w:line="240" w:lineRule="auto"/>
      </w:pPr>
      <w:r>
        <w:separator/>
      </w:r>
    </w:p>
  </w:footnote>
  <w:footnote w:type="continuationSeparator" w:id="0">
    <w:p w14:paraId="7CFE5F98" w14:textId="77777777" w:rsidR="00F16640" w:rsidRDefault="00F16640" w:rsidP="00DC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E9E19" w14:textId="77777777" w:rsidR="00DC1CBF" w:rsidRPr="00DC1CBF" w:rsidRDefault="00A64F07">
    <w:pPr>
      <w:pStyle w:val="Header"/>
      <w:rPr>
        <w:sz w:val="18"/>
        <w:szCs w:val="18"/>
      </w:rPr>
    </w:pPr>
    <w:r>
      <w:rPr>
        <w:b/>
        <w:sz w:val="24"/>
        <w:szCs w:val="24"/>
      </w:rPr>
      <w:t xml:space="preserve">Fiscal </w:t>
    </w:r>
    <w:r w:rsidR="00997EE3">
      <w:rPr>
        <w:b/>
        <w:sz w:val="24"/>
        <w:szCs w:val="24"/>
      </w:rPr>
      <w:t>Year</w:t>
    </w:r>
    <w:r w:rsidR="003B7830">
      <w:rPr>
        <w:b/>
        <w:sz w:val="24"/>
        <w:szCs w:val="24"/>
      </w:rPr>
      <w:t xml:space="preserve"> </w:t>
    </w:r>
    <w:r w:rsidR="00997EE3">
      <w:rPr>
        <w:b/>
        <w:sz w:val="24"/>
        <w:szCs w:val="24"/>
      </w:rPr>
      <w:t xml:space="preserve">and </w:t>
    </w:r>
    <w:r w:rsidR="001A30EE">
      <w:rPr>
        <w:b/>
        <w:sz w:val="24"/>
        <w:szCs w:val="24"/>
      </w:rPr>
      <w:t xml:space="preserve">Fiscal </w:t>
    </w:r>
    <w:r>
      <w:rPr>
        <w:b/>
        <w:sz w:val="24"/>
        <w:szCs w:val="24"/>
      </w:rPr>
      <w:t>Periods</w:t>
    </w:r>
    <w:r w:rsidR="00DC1CBF">
      <w:ptab w:relativeTo="margin" w:alignment="right" w:leader="none"/>
    </w:r>
    <w:r w:rsidR="00DC1CBF" w:rsidRPr="00DC1CBF">
      <w:rPr>
        <w:sz w:val="18"/>
        <w:szCs w:val="18"/>
      </w:rPr>
      <w:t>Quick Reference Guide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CBF"/>
    <w:rsid w:val="00004386"/>
    <w:rsid w:val="00037401"/>
    <w:rsid w:val="000A0508"/>
    <w:rsid w:val="000F53D4"/>
    <w:rsid w:val="0012058C"/>
    <w:rsid w:val="00177DA7"/>
    <w:rsid w:val="001848C3"/>
    <w:rsid w:val="00195F73"/>
    <w:rsid w:val="001A30EE"/>
    <w:rsid w:val="001B7D63"/>
    <w:rsid w:val="00251F88"/>
    <w:rsid w:val="002D72B2"/>
    <w:rsid w:val="003063DF"/>
    <w:rsid w:val="003333E2"/>
    <w:rsid w:val="00367E46"/>
    <w:rsid w:val="00395FD1"/>
    <w:rsid w:val="003A41EE"/>
    <w:rsid w:val="003B7830"/>
    <w:rsid w:val="003F747C"/>
    <w:rsid w:val="00415465"/>
    <w:rsid w:val="0041697D"/>
    <w:rsid w:val="0042452F"/>
    <w:rsid w:val="004261F0"/>
    <w:rsid w:val="00461146"/>
    <w:rsid w:val="00465B89"/>
    <w:rsid w:val="00496F54"/>
    <w:rsid w:val="004B2DE5"/>
    <w:rsid w:val="004B591A"/>
    <w:rsid w:val="004F7B14"/>
    <w:rsid w:val="00523136"/>
    <w:rsid w:val="005269D9"/>
    <w:rsid w:val="00540A03"/>
    <w:rsid w:val="0054337C"/>
    <w:rsid w:val="00585654"/>
    <w:rsid w:val="005A300A"/>
    <w:rsid w:val="005C300E"/>
    <w:rsid w:val="005D566C"/>
    <w:rsid w:val="00610018"/>
    <w:rsid w:val="00634B3F"/>
    <w:rsid w:val="007353BD"/>
    <w:rsid w:val="00754FDF"/>
    <w:rsid w:val="007A06A2"/>
    <w:rsid w:val="00801E3E"/>
    <w:rsid w:val="00865275"/>
    <w:rsid w:val="00887E54"/>
    <w:rsid w:val="008B7A3D"/>
    <w:rsid w:val="009223A5"/>
    <w:rsid w:val="0092781D"/>
    <w:rsid w:val="00975364"/>
    <w:rsid w:val="00995F13"/>
    <w:rsid w:val="00997EE3"/>
    <w:rsid w:val="009A213B"/>
    <w:rsid w:val="009C1B34"/>
    <w:rsid w:val="00A20762"/>
    <w:rsid w:val="00A26ED4"/>
    <w:rsid w:val="00A64F07"/>
    <w:rsid w:val="00A759A0"/>
    <w:rsid w:val="00A9076E"/>
    <w:rsid w:val="00AA398F"/>
    <w:rsid w:val="00AA3C1E"/>
    <w:rsid w:val="00AC3A5C"/>
    <w:rsid w:val="00AE1EAD"/>
    <w:rsid w:val="00B16846"/>
    <w:rsid w:val="00BC7C68"/>
    <w:rsid w:val="00BF14D3"/>
    <w:rsid w:val="00C020BA"/>
    <w:rsid w:val="00C90E6F"/>
    <w:rsid w:val="00CA7D9D"/>
    <w:rsid w:val="00CB38D9"/>
    <w:rsid w:val="00CB5D72"/>
    <w:rsid w:val="00DC1CBF"/>
    <w:rsid w:val="00E40093"/>
    <w:rsid w:val="00E6286D"/>
    <w:rsid w:val="00E712B0"/>
    <w:rsid w:val="00EE7CF5"/>
    <w:rsid w:val="00EF3D2F"/>
    <w:rsid w:val="00F16640"/>
    <w:rsid w:val="00F3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617E366"/>
  <w15:chartTrackingRefBased/>
  <w15:docId w15:val="{9E9E97ED-9DC3-41A7-8ABE-F25659DD4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1CBF"/>
  </w:style>
  <w:style w:type="paragraph" w:styleId="Footer">
    <w:name w:val="footer"/>
    <w:basedOn w:val="Normal"/>
    <w:link w:val="FooterChar"/>
    <w:uiPriority w:val="99"/>
    <w:unhideWhenUsed/>
    <w:rsid w:val="00DC1C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1CBF"/>
  </w:style>
  <w:style w:type="paragraph" w:styleId="BalloonText">
    <w:name w:val="Balloon Text"/>
    <w:basedOn w:val="Normal"/>
    <w:link w:val="BalloonTextChar"/>
    <w:uiPriority w:val="99"/>
    <w:semiHidden/>
    <w:unhideWhenUsed/>
    <w:rsid w:val="00E4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09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B7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Fenton</dc:creator>
  <cp:keywords/>
  <dc:description/>
  <cp:lastModifiedBy>Cindy Miesbach</cp:lastModifiedBy>
  <cp:revision>2</cp:revision>
  <cp:lastPrinted>2017-09-21T16:14:00Z</cp:lastPrinted>
  <dcterms:created xsi:type="dcterms:W3CDTF">2021-04-01T18:17:00Z</dcterms:created>
  <dcterms:modified xsi:type="dcterms:W3CDTF">2021-04-01T18:17:00Z</dcterms:modified>
</cp:coreProperties>
</file>